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220</w:t>
      </w:r>
    </w:p>
    <w:p>
      <w:r>
        <w:t>Bundesgericht (BGE), 2016-01-01, DE</w:t>
      </w:r>
    </w:p>
    <w:p>
      <w:r>
        <w:rPr>
          <w:b/>
        </w:rPr>
        <w:t xml:space="preserve">Quelle: </w:t>
      </w:r>
      <w:r>
        <w:t>https://mcp.opencaselaw.ch/entscheid/bge_142 III 220</w:t>
      </w:r>
    </w:p>
    <w:p>
      <w:r>
        <w:t>FR: ATF 142 III 220</w:t>
      </w:r>
    </w:p>
    <w:p>
      <w:r>
        <w:t>IT: DTF 142 III 220</w:t>
      </w:r>
    </w:p>
    <w:p>
      <w:pPr>
        <w:pStyle w:val="Heading2"/>
      </w:pPr>
      <w:r>
        <w:t>Regeste</w:t>
      </w:r>
    </w:p>
    <w:p>
      <w:r>
        <w:t>Regeste Art. 649a Abs. 1 ZGB; Art. 354, Art. 358 und Art. 393 lit. b ZPO; Schiedsklausel in einer Nutzungs- und Verwaltungsordnung einer Miteigentümergemeinschaft; Zuständigkeitsrüge. Grundsätze der Zuständigkeitsrüge nach Art. 393 lit. b ZPO (E. 3.1); Umfang der gesetzlichen Sukzession nach Art. 649a Abs. 1 ZGB mit Blick auf Schiedsklauseln (E. 3.4.1); Gültigkeit statutarischer Schiedsklauseln (E. 3.4.2 und 3.4.3) und Anwendung im konkreten Fall (E. 3.4.4); objektive Schiedsfähigkeit (E. 3.5).</w:t>
      </w:r>
    </w:p>
    <w:p>
      <w:pPr>
        <w:pStyle w:val="Heading2"/>
      </w:pPr>
      <w:r>
        <w:t>Erwägungen</w:t>
      </w:r>
    </w:p>
    <w:p>
      <w:r>
        <w:rPr>
          <w:b/>
        </w:rPr>
        <w:t>E. 3</w:t>
      </w:r>
    </w:p>
    <w:p>
      <w:r>
        <w:t>(...)</w:t>
      </w:r>
    </w:p>
    <w:p>
      <w:r>
        <w:rPr>
          <w:b/>
        </w:rPr>
        <w:t>E. 3.1</w:t>
      </w:r>
    </w:p>
    <w:p>
      <w:r>
        <w:t>Die für die interne Schiedsgerichtsbarkeit in Art. 393 lit. b ZPO vorgesehene Zuständigkeitsrüge entspricht jener für die internationale Schiedsgerichtsbarkeit in Art. 190 Abs. 2 lit. b IPRG (SR 291; Botschaft vom 28. Juni 2006 zur Schweizerischen Zivilprozessordnung, BBl 2006 7405 Ziff. 5.25.8 zu Art. 391 E-ZPO; Urteil 4A_627/2011 vom 8. März 2012 E. 3.1). Das Bundesgericht prüft die Zuständigkeitsrüge in rechtlicher Hinsicht frei, einschliesslich BGE 142 III 220 S. 224 materieller Vorfragen, von deren Beantwortung die Zuständigkeit abhängt ( BGE 140 III 477 E. 3.1, BGE 140 III 134 E. 3.1; je mit Hinweisen). Demgegenüber überprüft es tatsächliche Feststellungen des angefochtenen Schiedsentscheids auch im Rahmen der Zuständigkeitsrüge nicht, da es an den vom Schiedsgericht festgestellten Sachverhalt gebunden ist und diesen weder ergänzen noch berichtigen kann (vgl. Art. 77 Abs. 2 i.V.m. Art. 97 und Art. 105 Abs. 2 BGG ). Nur wenn gegenüber den Sachverhaltsfeststellungen zulässige Rügen im Sinne von Art. 393 ZPO vorgebracht oder ausnahmsweise Noven berücksichtigt werden ( Art. 99 BGG ), kann das Bundesgericht die tatsächlichen Feststellungen des angefochtenen Schiedsentscheids überprüfen (vgl. BGE 138 III 29 E. 2.2.1 S. 34 mit Hinweisen).</w:t>
      </w:r>
    </w:p>
    <w:p>
      <w:r>
        <w:rPr>
          <w:b/>
        </w:rPr>
        <w:t>E. 3.2</w:t>
      </w:r>
    </w:p>
    <w:p>
      <w:r>
        <w:t>Die Schiedsklausel in Ziff. IV des Verwaltungsreglements datiert aus der Zeit vor Inkrafttreten der ZPO am 1. Januar 2011. Gemäss Art. 407 Abs. 1 ZPO beurteilt sich im Binnenverhältnis die Gültigkeit von Schiedsvereinbarungen, die vor Inkrafttreten des Gesetzes geschlossen wurden, nach dem für sie günstigeren Recht. Der Schiedsrichter ging unangefochten und zutreffend davon aus, dass die formellen Anforderungen der ZPO an eine Schiedsvereinbarung gegenüber denjenigen des früheren kantonalen Rechts günstiger sind, und prüfte dementsprechend das Vorliegen einer Schiedsvereinbarung und deren Auswirkung auf die Zuständigkeit der staatlichen Gerichte nach Massgabe der ZPO (vgl. BGE 140 III 367 E. 2.1).</w:t>
      </w:r>
    </w:p>
    <w:p>
      <w:r>
        <w:rPr>
          <w:b/>
        </w:rPr>
        <w:t>E. 3.3</w:t>
      </w:r>
    </w:p>
    <w:p>
      <w:r>
        <w:t>Der Schiedsrichter hielt fest, dass die schriftlich festgehaltene Schiedsklausel in Ziff. IV des Verwaltungsreglements das Formerfordernis nach Art. 358 ZPO erfülle. Für die Einhaltung der Form sei irrelevant, dass die Schiedsvereinbarung ursprünglich nicht zwischen den heutigen Parteien, sondern zwischen C. und dem Beschwerdeführer abgeschlossen worden ist, da eine eigenständige Unterzeichnung der Vereinbarung nicht erforderlich sei. Das Formerfordernis der Schriftlichkeit betreffe nur die Existenz einer Schiedsvereinbarung, während gemäss bundesgerichtlicher Rechtsprechung die Ausdehnung auf einen Dritten kein Thema der Form sei (unter Hinweis auf BGE 129 III 727 E. 5.3.1). Die im Verwaltungsreglement enthaltene Schiedsklausel gelte sodann bereits aufgrund von Art. 649a Abs. 1 ZGB , wonach die von den Miteigentümern vereinbarte Nutzungs- und Verwaltungsordnung und die von ihnen gefassten Verwaltungsbeschlüsse sowie die gerichtlichen Urteile und Verfügungen auch für den Rechtsnachfolger eines Miteigentümers BGE 142 III 220 S. 225 und für den Erwerber eines dinglichen Rechtes an einem Miteigentumsanteil verbindlich seien. Das Bundesgericht habe in BGE 110 la 109 die Verbindlichkeit einer Schiedsklausel für Rechtsnachfolger eines Miteigentümers nämlich nicht grundsätzlich ausgeschlossen, sondern von der Erfüllung der Voraussetzungen abhängig gemacht, die nach kantonalem Prozessrecht erfüllt sein müssten. Der Anwendbarkeit der im Verwaltungsreglement F. enthaltenen Schiedsklausel auf die Parteien stünden nun aber keine (formellen) Bestimmungen der ZPO entgegen. Die Schiedsvereinbarung stehe zudem in einem direkten Zusammenhang mit der Verwaltung und Nutzung des Miteigentums. Es sei deshalb nicht ersichtlich, weshalb die im Verwaltungsreglement enthaltene Schiedsklausel nicht von Art. 649a Abs. 1 ZGB erfasst sein und automatisch auf die Rechtsnachfolgerin von C., d.h. die Beschwerdegegnerin, übergehen sollte. Schliesslich ergebe sich aus Ziff. V.3 des Verwaltungsreglements, dass jeder Miteigentümer verpflichtet sei, die sich aus dem Verwaltungsreglement F. ergebenden Verpflichtungen einem Rechtsnachfolger zu überbinden. Sämtliche Verpflichtungen inklusive die Schiedsvereinbarung sollten somit auch für allfällige Rechtsnachfolger gelten. Der Beschwerdeführer habe sich im Verwaltungsreglement F. ausdrücklich gegenüber allfälligen Rechtsnachfolgern verpflichtet und könne sich nun nicht im Nachhinein auf die Unverbindlichkeit der Schiedsvereinbarung gegenüber der Beschwerdegegnerin als Rechtsnachfolgerin von C. berufen.</w:t>
      </w:r>
    </w:p>
    <w:p>
      <w:r>
        <w:rPr>
          <w:b/>
        </w:rPr>
        <w:t>E. 3.4</w:t>
      </w:r>
    </w:p>
    <w:p>
      <w:r>
        <w:t>Diese Erwägungen vermag der Beschwerdeführer im Ergebnis nicht als unrichtig auszuweisen:</w:t>
      </w:r>
    </w:p>
    <w:p>
      <w:r>
        <w:rPr>
          <w:b/>
        </w:rPr>
        <w:t>E. 3.4.1</w:t>
      </w:r>
    </w:p>
    <w:p>
      <w:r>
        <w:t>Die Nutzungs- und Verwaltungsordnung der Miteigentümer gemäss Art. 647 ZGB ist ein Vertrag mit gesellschaftsrechtlichem Einschlag (Urteil 5A_380/2013 vom 19. März 2014 E. 3.1). Nach Art. 649a Abs. 1 ZGB sind diese Ordnung und die von den Miteigentümern gefassten Verwaltungsbeschlüsse sowie gerichtlichen Urteile und Verfügungen auch für den Rechtsnachfolger eines Miteigentümers und für den Erwerber eines dinglichen Rechtes an einem Miteigentumsanteil verbindlich. Die vereinbarte Nutzungs- und Verwaltungsordnung ist damit für jeden Erwerber eines Miteigentumsanteils kraft Gesetzes verbindlich, und zwar unabhängig davon, ob dieser den Inhalt des Reglements überhaupt kennt (Urteile 5D_98/2012 vom 14. August 2012 E. 3.3; 5C.177/2006 vom 19. Dezember 2006 E. 4.1). Aus Art. 649a Abs. 1 ZGB folgt insoweit eine gesetzliche Sukzession in die Rechte und Pflichten, die sich aus der Nutzungs- und Verwaltungsordnung ergeben. BGE 142 III 220 S. 226 Nach der bundesgerichtlichen Rechtsprechung gilt diese Sukzession indessen nur bezüglich denjenigen Bestimmungen der Nutzungs- und Verwaltungsordnung, die einen unmittelbaren Bezug zur gemeinschaftlichen Verwaltung und Nutzung der Sache haben ( BGE 123 III 53 E. 3a; BGE 110 Ia 106 E. 4c; Urteil 5A_499/2010 vom 20. Dezember 2010 E. 6.1). Was eine Schiedsklausel in der Nutzungs- und Verwaltungsordnung anbelangt, hat das Bundesgericht im publizierten Entscheid BGE 110 Ia 106 E. 4 S. 108 ff. offengelassen, ob eine solche auch von der gesetzlichen Sukzessionswirkung des Art. 649a Abs. 1 ZGB erfasst werde; im (unpublizierten) Urteil 4P.113/2001 vom 11. September 2001 E. 3c/aa kam es dann zum Schluss, dass eine Schiedsklausel nicht bereits kraft Art. 649a Abs. 1 ZGB auf den Erwerber eines Miteigentumsanteils übergehe. In beiden Entscheiden hielt das Bundesgericht aber fest, dass sich die Wirkung der Verwaltungs- und Nutzungsordnung einer Miteigentümergemeinschaft jener von Statuten juristischer Personen annähere, womit die Gültigkeit von Schiedsklauseln für neue Miteigentümer nach den gleichen Massstäben zu beurteilen sei, die für Schiedsklauseln in Statuten juristischer Personen hinsichtlich neu eintretender Mitglieder (Gesellschafter, Aktionäre) gelten ( BGE 110 Ia 106 E. 4d ff.; Urteil 4P.113/2001 vom 11. September 2001 E. 3c/bb-cc). Nach der früheren, für die interne Schiedsgerichtsbarkeit geltenden Regelung von Art. 6 Abs. 2 des Konkordats vom 27. März 1969 über die Schiedsgerichtsbarkeit (AS 1969 1093) bedurfte es hierzu einer schriftlichen Beitrittserklärung zur juristischen Person mit einer ausdrücklichen Bezugnahme auf die Schiedsabrede ( BGE 110 Ia 106 E. 4e). Diese konkordatsrechtliche Spezialregelung war für das Bundesgericht denn auch ausschlaggebend dafür, Art. 649a Abs. 1 ZGB nicht direkt auf Schiedsklauseln anzuwenden, da eine bundesrechtliche Norm den Kantonen nicht vorschreiben konnte, ob und unter welchen Voraussetzungen sie Schiedsklauseln in den Statuten von Körperschaften für nachträglich eintretende Mitglieder gelten lassen müssen ( BGE 110 Ia 106 E. 4f).</w:t>
      </w:r>
    </w:p>
    <w:p>
      <w:r>
        <w:rPr>
          <w:b/>
        </w:rPr>
        <w:t>E. 3.4.2</w:t>
      </w:r>
    </w:p>
    <w:p>
      <w:r>
        <w:t>Anders als das frühere Konkordatsrecht enthält der heute geltende 3. Teil der ZPO keine ausdrückliche Bestimmung zur Gültigkeit von Schiedsklauseln, die sich in den Statuten juristischer Personen befinden. Ausweislich der bundesrätlichen Botschaft soll sich die Gültigkeit statutarischer Schiedsklauseln nach der allgemeinen Norm von Art. 358 ZPO richten, wonach die Schiedsvereinbarung schriftlich oder in einer anderen Form zu erfolgen hat, die den BGE 142 III 220 S. 227 Nachweis durch Text ermöglicht. Damit gelten gemäss der Botschaft für die Binnenschiedsgerichtsbarkeit nunmehr die gleichen Grundsätze wie für die internationale Schiedsgerichtsbarkeit nach Art. 178 Abs. 1 IPRG (Botschaft vom 28. Juni 2006 zur Schweizerischen Zivilprozessordnung, BBl 2006 7221, 7395 zu Art. 356; so auch bereits der Bericht zum Vorentwurf der Expertenkommission vom Juni 2003, S. 168; sodann STEFANIE PFISTERER, in: Berner Kommentar, Schweizerische Zivilprozessordnung, Bd. III, 2014, N. 6 und 17 zu Art. 358 ZPO ; TARKAN GÖKSU, Schiedsgerichtsbarkeit, 2014, N. 519).</w:t>
      </w:r>
    </w:p>
    <w:p>
      <w:r>
        <w:rPr>
          <w:b/>
        </w:rPr>
        <w:t>E. 3.4.3</w:t>
      </w:r>
    </w:p>
    <w:p>
      <w:r>
        <w:t>Zur Gültigkeit statutarischer Schiedsklauseln unter dem 12. Kapitel IPRG hat sich das Bundesgericht bisher nur punktuell geäussert. Im bereits erwähnten Urteil 4P.113/2001 vom 11. September 2001, wo es - wie im vorliegenden Fall - um die Gültigkeit einer Schiedsklausel in der Nutzungs- und Verwaltungsordnung bezüglich eines neuen Miteigentümers ging, hielt das Bundesgericht fest, dass eine statutarische Schiedsklausel die ursprünglichen Miteigentümer binde, welche die entsprechenden Statuten verabschiedet und unterzeichnet haben. Neue Miteigentümer seien hingegen nur dann an die Schiedsklausel gebunden, wenn sie diese in Textform akzeptieren (Urteil 4P.113/2001 vom 11. September 2001 E. 3c/cc). Ein solches nach Art. 178 Abs. 1 IPRG formgültiges Akzept liege dabei spätestens dann vor, wenn sich der neue Miteigentümer als Schiedskläger in seiner (schriftlichen) Schiedsklage auf die Schiedsklausel beruft (Urteil 4P.113/2001 vom 11. September 2001 E. 3d/bb). In der heutigen Lehre sowohl zum IPRG als auch zur ZPO wird mehrheitlich vertreten, dass statutarische Schiedsklauseln zunächst die Gründungsmitglieder binden, welche die Statuten unterzeichnet haben, weiter aber auch neu eintretende Mitglieder eo ipso mit dem Erwerb eines vorbestehenden Mitgliedschaftsanteils (z.B. Aktien oder Stammanteile), ohne dass im Erwerbsakt in Textform ausdrücklich auf die Statuten geschweige denn die Schiedsklausel verwiesen werden müsste. Nur wo die Mitgliedschaft nicht an den Erwerb eines vorbestehenden Mitgliedschaftsanteils gebunden ist (und insoweit kein Rechtsnachfolgetatbestand vorliegt), wie etwa bei einem Beitritt zu einem Verein oder einer Genossenschaft, bedürfe es in der Beitrittserklärung auch noch eines Globalverweises auf die Statuten (PFISTERER, a.a.O., N. 17 zu Art. 358 ZPO ; FELIX DASSER, in: ZPO, Oberhammer und andere [Hrsg.], 2. Aufl. 2014, N. 6 zu Art. 358 ZPO ; DANIEL GIRSBERGER, in: Basler Kommentar, Schweizerische BGE 142 III 220 S. 228 Zivilprozessordnung, 2. Aufl. 2013, N. 30a zu Art. 357 ZPO ; BRUNO COCCHI, in: Commentario al Codice di diritto processuale civile svizzero [...], 2011, S. 1500;BERGER/KELLERHALS, International and Domestic Arbitration in Switzerland, 3. Aufl. 2015, N. 467; DIETER GRÄNICHER, in: Basler Kommentar, Internationales Privatrecht, 3. Aufl. 2013, N. 68 ff. zu Art. 178 IPRG ; CHRISTOPH MÜLLER, in: Arbitration in Switzerland, The Practicioner's Guide, Arroyo [Hrsg.], 2013, N. 73 ff. zu Art. 178 IPRG ). Einzelne Autoren sind noch liberaler und wollen auch im letzteren Fall einen in Textform nachweisbaren Beitrittsakt genügen lassen, ohne dass dabei auch noch (global) auf die Statuten zu verwiesen werden bräuchte (KAUFMANN-KOHLER/RIGOZZI, International Arbitration, Law and Practice in Switzerland, 2015, N. 3.90; GÖKSU, a.a.O., N. 520; wohl auch PIERRE-YVES TSCHANZ, in: Commentaire romand, Loi sur le droit international privé, 2011, N. 45 zu Art. 178 IPRG ). Auch in der älteren aktienrechtlichen Lehre wurde vertreten, dass sich ein Aktionär bereits mit dem Erwerb einer Aktie der statutarischen Schiedsklausel unterwerfe (CHRISTOPH VON GREYERZ, Die Aktiengesellschaft, in: SPR Bd. VIII/2, 1982, S. 194). Diese Auffassung wird freilich von BÖCKLI aus aktienrechtlicher Sicht in Frage gestellt: Er ist der Auffassung, dass der Verzicht auf die staatlichen Gerichte und die Unterwerfung unter ein Schiedsgericht verpflichtenden Charakter aufweise und damit in einem Spannungsfeld zum aktienrechtlichen Grundsatz stehe, wonach ein Aktionär zu nichts anderem verpflichtet sei als zur Liberierung seiner Aktien. Nach BÖCKLImuss ein Aktionär daher einer statutarischen Schiedsklausel ausdrücklich zustimmen, damit sie ihm gegenüber Wirksamkeit entfaltet (PETER BÖCKLI, Schweizer Aktienrecht, 4. Aufl. 2009, § 16 N. 150). Die gleichen aktienrechtlichen Überlegungen stellen auch BÜCHLER und VON DER CRONE an, die ebenfalls eine ausdrückliche Zustimmung zur Schiedsklausel verlangen (BÜCHLER/VON DER CRONE, Die Zulässigkeit statutarischer Schiedsklauseln, SZW 3/2010 S. 261 ff.). In der Gesetzgebung zeichnet sich indessen eine gegenteilige Entwicklung ab, welche der Haltung der oben referierten zivilprozessualen Literatur entspricht: Gemäss Art. 697l Abs. 1 des Vorentwurfs des Bundesrats vom 28. November 2014 zur Änderung des Obligationenrechts (Aktienrecht) können die Statuten für die Beurteilung gesellschaftsrechtlicher Streitigkeiten ein Schiedsgericht vorsehen; diese statutarische Schiedsklausel ist "gegenüber allen Aktionären, der Gesellschaft und den Organen BGE 142 III 220 S. 229 verbindlich". Ausweislich des Erläuternden Berichts zum Vorentwurf ( www.bj.admin.ch/dam/data/bj/wirtschaft/gesetzgebung/aktienrechtsrevision14/vn-ber-d.pdf , S. 117 f.) soll damit entgegen den Bedenken in der aktienrechtlichen Literatur "eine klare gesetzliche Grundlage für statutarische Schiedsklauseln" geschaffen werden; "neu hinzukommende Aktionärinnen und Aktionäre" würden "mit dem Erwerb der Aktionärsstellung ipso iure der Schiedsklausel" unterliegen; ein "zusätzliches Zustimmungs- und Formerfordernis" bestehe nicht. Der Vorschlag des Bundesrats wurde in der Vernehmlassung mehrheitlich begrüsst (Bericht zur Vernehmlassung zum Vorentwurf vom 28. November 2014 zur Änderung des Obligationenrechts [Aktienrecht] vom 17. September 2015, S. 32).</w:t>
      </w:r>
    </w:p>
    <w:p>
      <w:r>
        <w:rPr>
          <w:b/>
        </w:rPr>
        <w:t>E. 3.4.4</w:t>
      </w:r>
    </w:p>
    <w:p>
      <w:r>
        <w:t>Vorliegend hat die Beschwerdegegnerin mit der Einreichung des Gesuchs vom 25. Oktober 2013 an das Bezirksgericht Höfe um Ernennung eines Schiedsrichters ausdrücklich und in Textform ihre Zustimmung zur Schiedsklausel bekundet. An diese ist selbstredend auch der Beschwerdeführer gebunden, der die Schiedsklausel bei der Verabschiedung der Nutzungs- und Verwaltungsordnung eigenhändig unterzeichnet hat. Er macht zwar in seiner Beschwerde geltend, dass er nur gegenüber C., also dem Rechtsvorgänger der Beschwerdegegnerin, eine Schiedsvereinbarung abgeschlossen habe. Dieser Einwand geht aber fehl, ist es doch gerade die Eigenheit statutarischer Schiedsklauseln, dass diese nicht nur gegenüber den anderen Gründungsmitgliedern verbindlich sind, sondern auch gegenüber deren Rechtsnachfolgern (so implizit Urteil 4P.113/2001 vom 11. September 2001 E. 3c/cc). Im vorliegenden Fall haben dies C. und der Beschwerdeführer in Ziff. V.2 und V.3 des Verwaltungsreglements auch noch ausdrücklich vereinbart: Danach soll dieses Reglement (dessen Bestandteil die in Ziff. IV enthaltene Schiedsklausel bildet) für alle Rechtsnachfolger an der Liegenschaft GBBl. z verbindlich sein, wobei die Miteigentümer verpflichtet sind, ihren Rechtsnachfolgern die reglementarischen Verpflichtungen zu überbinden. Inwiefern damit die Schiedsklausel für den Beschwerdeführer gegenüber der Rechtsnachfolgerin von C. nicht mehr bindend sein soll, ist unerfindlich.</w:t>
      </w:r>
    </w:p>
    <w:p>
      <w:r>
        <w:rPr>
          <w:b/>
        </w:rPr>
        <w:t>E. 3.5</w:t>
      </w:r>
    </w:p>
    <w:p>
      <w:r>
        <w:t>Schliesslich macht der Beschwerdeführer geltend, die vom Schiedsgericht beurteilte Angelegenheit betreffe die Frage, ob eine gewisse Verwaltungshandlung bezüglich der im Miteigentum stehenden Liegenschaft notwendig sei. Gemäss Art. 647 Abs. 2 Ziff. 1 ZGB bestehe ein Anspruch, dass diese Frage von einem staatlichen BGE 142 III 220 S. 230 Gericht beurteilt werde, womit vorliegend nicht nur keine formgültige Schiedsvereinbarung zustande gekommen, sondern auch die objektive Schiedsfähigkeit nicht gegeben sei. Auch dieser Einwand geht fehl. Jeder Miteigentümer kann gestützt auf Art. 647 Abs. 2 Ziff. 1 ZGB vor Gericht verlangen, dass die für die Erhaltung des Wertes und der Gebrauchsfähigkeit der Sache notwendigen Verwaltungshandlungen durchgeführt werden (Urteil 5A_407/2015 vom 27. August 2015 E. 3.1). Ausweislich der Feststellungen im angefochtenen Schiedsspruch hat sich die Beschwerdegegnerin in ihrer Schiedsklage nun aber gerade nicht auf Art. 647 Abs. 2 Ziff. 1 ZGB berufen und das Schiedsgericht auch nicht um die Anordnung einer notwendigen Verwaltungshandlung im Sinne dieser Norm ersucht. Vielmehr hat sie sich auf die in Ziff. IV des Verwaltungsreglements getroffene Vereinbarung berufen, wonach sich die Parteien bei jeglichen Pattsituationen hinsichtlich Fragen, welche die Miteigentümerschaft betreffen, dem Entscheid eines Schiedsrichters unterwerfen. Damit haben die Parteien einen gegenseitigen Anspruch auf Zustimmung zu einem Beschlussantrag vereinbart, wobei nach schiedsrichterlichem Ermessen zu bestimmen ist, wem dieser Anspruch im konkreten Fall zusteht. Dabei handelt es sich um einen vermögensrechtlichen Anspruch, über den die Parteien ohne weiteres im Sinne von Art. 354 ZPO frei verfügen, d.h. darauf verzichten oder sich darüber vergleichen können. Die objektive Schiedsfähigkeit ist gegeben.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